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53" w:rsidRPr="00122309" w:rsidRDefault="00872653" w:rsidP="00872653">
      <w:pPr>
        <w:jc w:val="center"/>
        <w:rPr>
          <w:rFonts w:ascii="Arial" w:hAnsi="Arial" w:cs="Arial"/>
          <w:color w:val="222222"/>
          <w:sz w:val="30"/>
          <w:szCs w:val="30"/>
          <w:lang w:val="ca-ES"/>
        </w:rPr>
      </w:pPr>
      <w:r w:rsidRPr="00122309">
        <w:rPr>
          <w:rFonts w:ascii="Arial" w:hAnsi="Arial" w:cs="Arial"/>
          <w:color w:val="222222"/>
          <w:sz w:val="30"/>
          <w:szCs w:val="30"/>
          <w:lang w:val="ca-ES"/>
        </w:rPr>
        <w:t>NOVA PUBLICACIÓ SOBRE ARBITRATGE</w:t>
      </w:r>
    </w:p>
    <w:p w:rsidR="00872653" w:rsidRPr="001B488E" w:rsidRDefault="00872653" w:rsidP="00872653">
      <w:pPr>
        <w:spacing w:after="0" w:line="240" w:lineRule="auto"/>
        <w:jc w:val="center"/>
        <w:rPr>
          <w:rFonts w:ascii="Arial" w:hAnsi="Arial" w:cs="Arial"/>
          <w:b/>
          <w:color w:val="222222"/>
          <w:sz w:val="28"/>
          <w:szCs w:val="28"/>
          <w:lang w:val="ca-ES"/>
        </w:rPr>
      </w:pPr>
      <w:proofErr w:type="spellStart"/>
      <w:r w:rsidRPr="001B488E">
        <w:rPr>
          <w:rFonts w:ascii="Arial" w:hAnsi="Arial" w:cs="Arial"/>
          <w:b/>
          <w:color w:val="222222"/>
          <w:sz w:val="28"/>
          <w:szCs w:val="28"/>
          <w:lang w:val="ca-ES"/>
        </w:rPr>
        <w:t>Anuario</w:t>
      </w:r>
      <w:proofErr w:type="spellEnd"/>
      <w:r w:rsidRPr="001B488E">
        <w:rPr>
          <w:rFonts w:ascii="Arial" w:hAnsi="Arial" w:cs="Arial"/>
          <w:b/>
          <w:color w:val="222222"/>
          <w:sz w:val="28"/>
          <w:szCs w:val="28"/>
          <w:lang w:val="ca-ES"/>
        </w:rPr>
        <w:t xml:space="preserve"> Justícia Alternativa. </w:t>
      </w:r>
      <w:proofErr w:type="spellStart"/>
      <w:r w:rsidRPr="001B488E">
        <w:rPr>
          <w:rFonts w:ascii="Arial" w:hAnsi="Arial" w:cs="Arial"/>
          <w:b/>
          <w:color w:val="222222"/>
          <w:sz w:val="28"/>
          <w:szCs w:val="28"/>
          <w:lang w:val="ca-ES"/>
        </w:rPr>
        <w:t>Derecho</w:t>
      </w:r>
      <w:proofErr w:type="spellEnd"/>
      <w:r w:rsidRPr="001B488E">
        <w:rPr>
          <w:rFonts w:ascii="Arial" w:hAnsi="Arial" w:cs="Arial"/>
          <w:b/>
          <w:color w:val="222222"/>
          <w:sz w:val="28"/>
          <w:szCs w:val="28"/>
          <w:lang w:val="ca-ES"/>
        </w:rPr>
        <w:t xml:space="preserve"> Arbitral 2017</w:t>
      </w:r>
    </w:p>
    <w:p w:rsidR="00872653" w:rsidRDefault="00872653" w:rsidP="00872653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lang w:val="ca-ES"/>
        </w:rPr>
      </w:pPr>
      <w:r w:rsidRPr="00872653">
        <w:rPr>
          <w:rFonts w:ascii="Arial" w:hAnsi="Arial" w:cs="Arial"/>
          <w:color w:val="222222"/>
          <w:sz w:val="28"/>
          <w:szCs w:val="28"/>
          <w:lang w:val="ca-ES"/>
        </w:rPr>
        <w:br/>
      </w:r>
      <w:r>
        <w:rPr>
          <w:rFonts w:ascii="Arial" w:hAnsi="Arial" w:cs="Arial"/>
          <w:color w:val="222222"/>
          <w:sz w:val="28"/>
          <w:szCs w:val="28"/>
          <w:lang w:val="ca-ES"/>
        </w:rPr>
        <w:tab/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>El passat mes de juliol es va publicar el número 14 de l</w:t>
      </w:r>
      <w:r w:rsidR="001B488E">
        <w:rPr>
          <w:rFonts w:ascii="Arial" w:hAnsi="Arial" w:cs="Arial"/>
          <w:color w:val="222222"/>
          <w:sz w:val="28"/>
          <w:szCs w:val="28"/>
          <w:lang w:val="ca-ES"/>
        </w:rPr>
        <w:t>’</w:t>
      </w:r>
      <w:r w:rsidRPr="00122309">
        <w:rPr>
          <w:rFonts w:ascii="Arial" w:hAnsi="Arial" w:cs="Arial"/>
          <w:i/>
          <w:color w:val="222222"/>
          <w:sz w:val="28"/>
          <w:szCs w:val="28"/>
          <w:lang w:val="ca-ES"/>
        </w:rPr>
        <w:t>Anuari de Justícia Alternativa. Dret Arbitral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 xml:space="preserve"> que edita el Tribunal Arbitral de Bar</w:t>
      </w:r>
      <w:r w:rsidR="001B488E">
        <w:rPr>
          <w:rFonts w:ascii="Arial" w:hAnsi="Arial" w:cs="Arial"/>
          <w:color w:val="222222"/>
          <w:sz w:val="28"/>
          <w:szCs w:val="28"/>
          <w:lang w:val="ca-ES"/>
        </w:rPr>
        <w:t>celona (TAB), reconegut òrgan d’administració d’arbitratges, òrgan de l’Associació Catalana per a l’Arbitratge, de la qual formen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 xml:space="preserve"> part</w:t>
      </w:r>
      <w:r w:rsidR="001B488E">
        <w:rPr>
          <w:rFonts w:ascii="Arial" w:hAnsi="Arial" w:cs="Arial"/>
          <w:color w:val="222222"/>
          <w:sz w:val="28"/>
          <w:szCs w:val="28"/>
          <w:lang w:val="ca-ES"/>
        </w:rPr>
        <w:t xml:space="preserve"> 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>el Consell d</w:t>
      </w:r>
      <w:r w:rsidR="001B488E">
        <w:rPr>
          <w:rFonts w:ascii="Arial" w:hAnsi="Arial" w:cs="Arial"/>
          <w:color w:val="222222"/>
          <w:sz w:val="28"/>
          <w:szCs w:val="28"/>
          <w:lang w:val="ca-ES"/>
        </w:rPr>
        <w:t>e l’Advocacia Catalana i l’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 xml:space="preserve">Il·lustre Col·legi </w:t>
      </w:r>
      <w:r w:rsidR="00122309">
        <w:rPr>
          <w:rFonts w:ascii="Arial" w:hAnsi="Arial" w:cs="Arial"/>
          <w:color w:val="222222"/>
          <w:sz w:val="28"/>
          <w:szCs w:val="28"/>
          <w:lang w:val="ca-ES"/>
        </w:rPr>
        <w:t xml:space="preserve">de l’Advocacia de 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>Barcelona</w:t>
      </w:r>
      <w:r w:rsidR="001B488E" w:rsidRPr="001B488E">
        <w:rPr>
          <w:rFonts w:ascii="Arial" w:hAnsi="Arial" w:cs="Arial"/>
          <w:color w:val="222222"/>
          <w:sz w:val="28"/>
          <w:szCs w:val="28"/>
          <w:lang w:val="ca-ES"/>
        </w:rPr>
        <w:t xml:space="preserve"> </w:t>
      </w:r>
      <w:r w:rsidR="001B488E">
        <w:rPr>
          <w:rFonts w:ascii="Arial" w:hAnsi="Arial" w:cs="Arial"/>
          <w:color w:val="222222"/>
          <w:sz w:val="28"/>
          <w:szCs w:val="28"/>
          <w:lang w:val="ca-ES"/>
        </w:rPr>
        <w:t>juntament amb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 xml:space="preserve"> ​​la Cambra de Comerç de Barcelona, ​​el Col</w:t>
      </w:r>
      <w:r w:rsidR="001B488E">
        <w:rPr>
          <w:rFonts w:ascii="Arial" w:hAnsi="Arial" w:cs="Arial"/>
          <w:color w:val="222222"/>
          <w:sz w:val="28"/>
          <w:szCs w:val="28"/>
          <w:lang w:val="ca-ES"/>
        </w:rPr>
        <w:t xml:space="preserve">·legi Notarial de Catalunya, </w:t>
      </w:r>
      <w:r w:rsidR="001B488E" w:rsidRPr="00872653">
        <w:rPr>
          <w:rFonts w:ascii="Arial" w:hAnsi="Arial" w:cs="Arial"/>
          <w:color w:val="222222"/>
          <w:sz w:val="28"/>
          <w:szCs w:val="28"/>
          <w:lang w:val="ca-ES"/>
        </w:rPr>
        <w:t>el De</w:t>
      </w:r>
      <w:r w:rsidR="001B488E">
        <w:rPr>
          <w:rFonts w:ascii="Arial" w:hAnsi="Arial" w:cs="Arial"/>
          <w:color w:val="222222"/>
          <w:sz w:val="28"/>
          <w:szCs w:val="28"/>
          <w:lang w:val="ca-ES"/>
        </w:rPr>
        <w:t>ganat</w:t>
      </w:r>
      <w:r w:rsidR="001B488E" w:rsidRPr="00872653">
        <w:rPr>
          <w:rFonts w:ascii="Arial" w:hAnsi="Arial" w:cs="Arial"/>
          <w:color w:val="222222"/>
          <w:sz w:val="28"/>
          <w:szCs w:val="28"/>
          <w:lang w:val="ca-ES"/>
        </w:rPr>
        <w:t xml:space="preserve"> de Registradors de la Propietat</w:t>
      </w:r>
      <w:r w:rsidR="001B488E">
        <w:rPr>
          <w:rFonts w:ascii="Arial" w:hAnsi="Arial" w:cs="Arial"/>
          <w:color w:val="222222"/>
          <w:sz w:val="28"/>
          <w:szCs w:val="28"/>
          <w:lang w:val="ca-ES"/>
        </w:rPr>
        <w:t>,</w:t>
      </w:r>
      <w:r w:rsidR="001B488E" w:rsidRPr="00872653">
        <w:rPr>
          <w:rFonts w:ascii="Arial" w:hAnsi="Arial" w:cs="Arial"/>
          <w:color w:val="222222"/>
          <w:sz w:val="28"/>
          <w:szCs w:val="28"/>
          <w:lang w:val="ca-ES"/>
        </w:rPr>
        <w:t xml:space="preserve"> Mercantil i Béns Mobles de Catalunya</w:t>
      </w:r>
      <w:r w:rsidR="001B488E">
        <w:rPr>
          <w:rFonts w:ascii="Arial" w:hAnsi="Arial" w:cs="Arial"/>
          <w:color w:val="222222"/>
          <w:sz w:val="28"/>
          <w:szCs w:val="28"/>
          <w:lang w:val="ca-ES"/>
        </w:rPr>
        <w:t xml:space="preserve"> i l’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>Associació Intercol</w:t>
      </w:r>
      <w:r w:rsidR="001B488E">
        <w:rPr>
          <w:rFonts w:ascii="Arial" w:hAnsi="Arial" w:cs="Arial"/>
          <w:color w:val="222222"/>
          <w:sz w:val="28"/>
          <w:szCs w:val="28"/>
          <w:lang w:val="ca-ES"/>
        </w:rPr>
        <w:t>·l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>egial de Col·legis Professionals de Catalunya.</w:t>
      </w:r>
      <w:r w:rsidR="001B488E" w:rsidRPr="00872653">
        <w:rPr>
          <w:rFonts w:ascii="Arial" w:hAnsi="Arial" w:cs="Arial"/>
          <w:color w:val="222222"/>
          <w:sz w:val="28"/>
          <w:szCs w:val="28"/>
          <w:lang w:val="ca-ES"/>
        </w:rPr>
        <w:t xml:space="preserve"> </w:t>
      </w:r>
    </w:p>
    <w:p w:rsidR="00122309" w:rsidRDefault="00122309" w:rsidP="00872653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lang w:val="ca-ES"/>
        </w:rPr>
      </w:pPr>
    </w:p>
    <w:p w:rsidR="00122309" w:rsidRDefault="00872653" w:rsidP="00872653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lang w:val="ca-ES"/>
        </w:rPr>
      </w:pPr>
      <w:r>
        <w:rPr>
          <w:rFonts w:ascii="Arial" w:hAnsi="Arial" w:cs="Arial"/>
          <w:color w:val="222222"/>
          <w:sz w:val="28"/>
          <w:szCs w:val="28"/>
          <w:lang w:val="ca-ES"/>
        </w:rPr>
        <w:tab/>
      </w:r>
      <w:r w:rsidR="001B488E">
        <w:rPr>
          <w:rFonts w:ascii="Arial" w:hAnsi="Arial" w:cs="Arial"/>
          <w:color w:val="222222"/>
          <w:sz w:val="28"/>
          <w:szCs w:val="28"/>
          <w:lang w:val="ca-ES"/>
        </w:rPr>
        <w:t>L’</w:t>
      </w:r>
      <w:r w:rsidRPr="001B488E">
        <w:rPr>
          <w:rFonts w:ascii="Arial" w:hAnsi="Arial" w:cs="Arial"/>
          <w:b/>
          <w:color w:val="222222"/>
          <w:sz w:val="28"/>
          <w:szCs w:val="28"/>
          <w:lang w:val="ca-ES"/>
        </w:rPr>
        <w:t>Anuari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 xml:space="preserve"> es divideix en diferents seccions</w:t>
      </w:r>
      <w:r w:rsidR="001B488E">
        <w:rPr>
          <w:rFonts w:ascii="Arial" w:hAnsi="Arial" w:cs="Arial"/>
          <w:color w:val="222222"/>
          <w:sz w:val="28"/>
          <w:szCs w:val="28"/>
          <w:lang w:val="ca-ES"/>
        </w:rPr>
        <w:t>: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 xml:space="preserve"> </w:t>
      </w:r>
      <w:proofErr w:type="spellStart"/>
      <w:r w:rsidRPr="00122309">
        <w:rPr>
          <w:rFonts w:ascii="Arial" w:hAnsi="Arial" w:cs="Arial"/>
          <w:i/>
          <w:color w:val="222222"/>
          <w:sz w:val="28"/>
          <w:szCs w:val="28"/>
          <w:lang w:val="ca-ES"/>
        </w:rPr>
        <w:t>Scientia</w:t>
      </w:r>
      <w:proofErr w:type="spellEnd"/>
      <w:r w:rsidRPr="00872653">
        <w:rPr>
          <w:rFonts w:ascii="Arial" w:hAnsi="Arial" w:cs="Arial"/>
          <w:color w:val="222222"/>
          <w:sz w:val="28"/>
          <w:szCs w:val="28"/>
          <w:lang w:val="ca-ES"/>
        </w:rPr>
        <w:t>, amb articles doctrinals sobre d</w:t>
      </w:r>
      <w:r w:rsidR="001B488E">
        <w:rPr>
          <w:rFonts w:ascii="Arial" w:hAnsi="Arial" w:cs="Arial"/>
          <w:color w:val="222222"/>
          <w:sz w:val="28"/>
          <w:szCs w:val="28"/>
          <w:lang w:val="ca-ES"/>
        </w:rPr>
        <w:t>iversos temes relacionats amb l’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>obl</w:t>
      </w:r>
      <w:r w:rsidR="001B488E">
        <w:rPr>
          <w:rFonts w:ascii="Arial" w:hAnsi="Arial" w:cs="Arial"/>
          <w:color w:val="222222"/>
          <w:sz w:val="28"/>
          <w:szCs w:val="28"/>
          <w:lang w:val="ca-ES"/>
        </w:rPr>
        <w:t>igació de confidencialitat en l’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>arbitratge en dret comparat, la il·l</w:t>
      </w:r>
      <w:r w:rsidR="001B488E">
        <w:rPr>
          <w:rFonts w:ascii="Arial" w:hAnsi="Arial" w:cs="Arial"/>
          <w:color w:val="222222"/>
          <w:sz w:val="28"/>
          <w:szCs w:val="28"/>
          <w:lang w:val="ca-ES"/>
        </w:rPr>
        <w:t>egalitat de l’acció d’</w:t>
      </w:r>
      <w:r w:rsidR="00122309">
        <w:rPr>
          <w:rFonts w:ascii="Arial" w:hAnsi="Arial" w:cs="Arial"/>
          <w:color w:val="222222"/>
          <w:sz w:val="28"/>
          <w:szCs w:val="28"/>
          <w:lang w:val="ca-ES"/>
        </w:rPr>
        <w:t>anul·lació del laude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 xml:space="preserve"> i altres sobre mitjans alternatius de re</w:t>
      </w:r>
      <w:r w:rsidR="001B488E">
        <w:rPr>
          <w:rFonts w:ascii="Arial" w:hAnsi="Arial" w:cs="Arial"/>
          <w:color w:val="222222"/>
          <w:sz w:val="28"/>
          <w:szCs w:val="28"/>
          <w:lang w:val="ca-ES"/>
        </w:rPr>
        <w:t>solució de conflictes tant en l’àmbit de l’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>empresa com en el dret administratiu i en la resoluc</w:t>
      </w:r>
      <w:r w:rsidR="001B488E">
        <w:rPr>
          <w:rFonts w:ascii="Arial" w:hAnsi="Arial" w:cs="Arial"/>
          <w:color w:val="222222"/>
          <w:sz w:val="28"/>
          <w:szCs w:val="28"/>
          <w:lang w:val="ca-ES"/>
        </w:rPr>
        <w:t>ió de les controvèrsies entre l’inversor i l’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 xml:space="preserve">Estat en </w:t>
      </w:r>
      <w:r w:rsidR="00F11D27">
        <w:rPr>
          <w:rFonts w:ascii="Arial" w:hAnsi="Arial" w:cs="Arial"/>
          <w:color w:val="222222"/>
          <w:sz w:val="28"/>
          <w:szCs w:val="28"/>
          <w:lang w:val="ca-ES"/>
        </w:rPr>
        <w:t xml:space="preserve">el </w:t>
      </w:r>
      <w:proofErr w:type="spellStart"/>
      <w:r w:rsidR="00F11D27" w:rsidRPr="001B488E">
        <w:rPr>
          <w:rFonts w:ascii="Arial" w:hAnsi="Arial" w:cs="Arial"/>
          <w:i/>
          <w:iCs/>
          <w:sz w:val="28"/>
          <w:szCs w:val="28"/>
          <w:lang w:val="ca-ES"/>
        </w:rPr>
        <w:t>Transatlantic</w:t>
      </w:r>
      <w:proofErr w:type="spellEnd"/>
      <w:r w:rsidR="00F11D27" w:rsidRPr="001B488E">
        <w:rPr>
          <w:rFonts w:ascii="Arial" w:hAnsi="Arial" w:cs="Arial"/>
          <w:i/>
          <w:iCs/>
          <w:sz w:val="28"/>
          <w:szCs w:val="28"/>
          <w:lang w:val="ca-ES"/>
        </w:rPr>
        <w:t xml:space="preserve"> Trade and Investment </w:t>
      </w:r>
      <w:proofErr w:type="spellStart"/>
      <w:r w:rsidR="00F11D27" w:rsidRPr="001B488E">
        <w:rPr>
          <w:rFonts w:ascii="Arial" w:hAnsi="Arial" w:cs="Arial"/>
          <w:i/>
          <w:iCs/>
          <w:sz w:val="28"/>
          <w:szCs w:val="28"/>
          <w:lang w:val="ca-ES"/>
        </w:rPr>
        <w:t>Partnership</w:t>
      </w:r>
      <w:proofErr w:type="spellEnd"/>
      <w:r w:rsidR="00F11D27" w:rsidRPr="001B488E">
        <w:rPr>
          <w:rFonts w:ascii="Arial" w:hAnsi="Arial" w:cs="Arial"/>
          <w:sz w:val="28"/>
          <w:szCs w:val="28"/>
          <w:lang w:val="ca-ES"/>
        </w:rPr>
        <w:t xml:space="preserve"> 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>(TTIP).</w:t>
      </w:r>
    </w:p>
    <w:p w:rsidR="00122309" w:rsidRDefault="00872653" w:rsidP="00872653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lang w:val="ca-ES"/>
        </w:rPr>
      </w:pPr>
      <w:r w:rsidRPr="00872653">
        <w:rPr>
          <w:rFonts w:ascii="Arial" w:hAnsi="Arial" w:cs="Arial"/>
          <w:color w:val="222222"/>
          <w:sz w:val="28"/>
          <w:szCs w:val="28"/>
          <w:lang w:val="ca-ES"/>
        </w:rPr>
        <w:br/>
      </w:r>
      <w:r>
        <w:rPr>
          <w:rFonts w:ascii="Arial" w:hAnsi="Arial" w:cs="Arial"/>
          <w:color w:val="222222"/>
          <w:sz w:val="28"/>
          <w:szCs w:val="28"/>
          <w:lang w:val="ca-ES"/>
        </w:rPr>
        <w:tab/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>Segu</w:t>
      </w:r>
      <w:r w:rsidR="00F11D27">
        <w:rPr>
          <w:rFonts w:ascii="Arial" w:hAnsi="Arial" w:cs="Arial"/>
          <w:color w:val="222222"/>
          <w:sz w:val="28"/>
          <w:szCs w:val="28"/>
          <w:lang w:val="ca-ES"/>
        </w:rPr>
        <w:t>eixen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 xml:space="preserve"> les seccions referides a </w:t>
      </w:r>
      <w:r w:rsidRPr="00F11D27">
        <w:rPr>
          <w:rFonts w:ascii="Arial" w:hAnsi="Arial" w:cs="Arial"/>
          <w:i/>
          <w:color w:val="222222"/>
          <w:sz w:val="28"/>
          <w:szCs w:val="28"/>
          <w:lang w:val="ca-ES"/>
        </w:rPr>
        <w:t>Praxis arbitral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 xml:space="preserve"> i </w:t>
      </w:r>
      <w:r w:rsidRPr="00F11D27">
        <w:rPr>
          <w:rFonts w:ascii="Arial" w:hAnsi="Arial" w:cs="Arial"/>
          <w:i/>
          <w:color w:val="222222"/>
          <w:sz w:val="28"/>
          <w:szCs w:val="28"/>
          <w:lang w:val="ca-ES"/>
        </w:rPr>
        <w:t>Praxis judicial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>.</w:t>
      </w:r>
      <w:r w:rsidR="001B488E">
        <w:rPr>
          <w:rFonts w:ascii="Arial" w:hAnsi="Arial" w:cs="Arial"/>
          <w:color w:val="222222"/>
          <w:sz w:val="28"/>
          <w:szCs w:val="28"/>
          <w:lang w:val="ca-ES"/>
        </w:rPr>
        <w:t xml:space="preserve"> Com assenyala el director de l’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 xml:space="preserve">Anuari i Vocal del TAB, Francisco </w:t>
      </w:r>
      <w:proofErr w:type="spellStart"/>
      <w:r w:rsidRPr="00872653">
        <w:rPr>
          <w:rFonts w:ascii="Arial" w:hAnsi="Arial" w:cs="Arial"/>
          <w:color w:val="222222"/>
          <w:sz w:val="28"/>
          <w:szCs w:val="28"/>
          <w:lang w:val="ca-ES"/>
        </w:rPr>
        <w:t>Tusquets</w:t>
      </w:r>
      <w:proofErr w:type="spellEnd"/>
      <w:r w:rsidRPr="00872653">
        <w:rPr>
          <w:rFonts w:ascii="Arial" w:hAnsi="Arial" w:cs="Arial"/>
          <w:color w:val="222222"/>
          <w:sz w:val="28"/>
          <w:szCs w:val="28"/>
          <w:lang w:val="ca-ES"/>
        </w:rPr>
        <w:t xml:space="preserve"> Trias de Bes, en aquesta última secció destaca l</w:t>
      </w:r>
      <w:r w:rsidR="001B488E">
        <w:rPr>
          <w:rFonts w:ascii="Arial" w:hAnsi="Arial" w:cs="Arial"/>
          <w:color w:val="222222"/>
          <w:sz w:val="28"/>
          <w:szCs w:val="28"/>
          <w:lang w:val="ca-ES"/>
        </w:rPr>
        <w:t>’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>interessant debat jurídic que sorgeix en la doctrina i en la pràctica de</w:t>
      </w:r>
      <w:r w:rsidR="001B488E">
        <w:rPr>
          <w:rFonts w:ascii="Arial" w:hAnsi="Arial" w:cs="Arial"/>
          <w:color w:val="222222"/>
          <w:sz w:val="28"/>
          <w:szCs w:val="28"/>
          <w:lang w:val="ca-ES"/>
        </w:rPr>
        <w:t xml:space="preserve"> l’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>arbi</w:t>
      </w:r>
      <w:r w:rsidR="001B488E">
        <w:rPr>
          <w:rFonts w:ascii="Arial" w:hAnsi="Arial" w:cs="Arial"/>
          <w:color w:val="222222"/>
          <w:sz w:val="28"/>
          <w:szCs w:val="28"/>
          <w:lang w:val="ca-ES"/>
        </w:rPr>
        <w:t>tratge sobre el paper que han d’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 xml:space="preserve">exercir els òrgans </w:t>
      </w:r>
      <w:r w:rsidR="00F11D27">
        <w:rPr>
          <w:rFonts w:ascii="Arial" w:hAnsi="Arial" w:cs="Arial"/>
          <w:color w:val="222222"/>
          <w:sz w:val="28"/>
          <w:szCs w:val="28"/>
          <w:lang w:val="ca-ES"/>
        </w:rPr>
        <w:t>judicials que resolen accions d’anul·lació de laude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>s. Ja són diverses les sentències</w:t>
      </w:r>
      <w:r w:rsidR="001B488E">
        <w:rPr>
          <w:rFonts w:ascii="Arial" w:hAnsi="Arial" w:cs="Arial"/>
          <w:color w:val="222222"/>
          <w:sz w:val="28"/>
          <w:szCs w:val="28"/>
          <w:lang w:val="ca-ES"/>
        </w:rPr>
        <w:t xml:space="preserve"> dictades pels TSJ en accions d’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>anul·lació que van més enllà del mer control judicial previst en la legislació arbitral per a aquesta acció qu</w:t>
      </w:r>
      <w:r w:rsidR="001B488E">
        <w:rPr>
          <w:rFonts w:ascii="Arial" w:hAnsi="Arial" w:cs="Arial"/>
          <w:color w:val="222222"/>
          <w:sz w:val="28"/>
          <w:szCs w:val="28"/>
          <w:lang w:val="ca-ES"/>
        </w:rPr>
        <w:t>e, tal com estableix la llei, s’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>hauria de limitar a garantir que tant el naixement com el desenvolupament i la conclusió del pro</w:t>
      </w:r>
      <w:r w:rsidR="001B488E">
        <w:rPr>
          <w:rFonts w:ascii="Arial" w:hAnsi="Arial" w:cs="Arial"/>
          <w:color w:val="222222"/>
          <w:sz w:val="28"/>
          <w:szCs w:val="28"/>
          <w:lang w:val="ca-ES"/>
        </w:rPr>
        <w:t xml:space="preserve">cediment arbitral s’ajusten a </w:t>
      </w:r>
      <w:proofErr w:type="spellStart"/>
      <w:r w:rsidR="001B488E">
        <w:rPr>
          <w:rFonts w:ascii="Arial" w:hAnsi="Arial" w:cs="Arial"/>
          <w:color w:val="222222"/>
          <w:sz w:val="28"/>
          <w:szCs w:val="28"/>
          <w:lang w:val="ca-ES"/>
        </w:rPr>
        <w:t>l’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>establert</w:t>
      </w:r>
      <w:proofErr w:type="spellEnd"/>
      <w:r w:rsidRPr="00872653">
        <w:rPr>
          <w:rFonts w:ascii="Arial" w:hAnsi="Arial" w:cs="Arial"/>
          <w:color w:val="222222"/>
          <w:sz w:val="28"/>
          <w:szCs w:val="28"/>
          <w:lang w:val="ca-ES"/>
        </w:rPr>
        <w:t xml:space="preserve"> en la llei, però sense que aquest control judicial limitat permet</w:t>
      </w:r>
      <w:r w:rsidR="00F11D27">
        <w:rPr>
          <w:rFonts w:ascii="Arial" w:hAnsi="Arial" w:cs="Arial"/>
          <w:color w:val="222222"/>
          <w:sz w:val="28"/>
          <w:szCs w:val="28"/>
          <w:lang w:val="ca-ES"/>
        </w:rPr>
        <w:t>i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 xml:space="preserve"> entrar a revisar el fons de la qüestió decidida pe</w:t>
      </w:r>
      <w:r w:rsidR="00F11D27">
        <w:rPr>
          <w:rFonts w:ascii="Arial" w:hAnsi="Arial" w:cs="Arial"/>
          <w:color w:val="222222"/>
          <w:sz w:val="28"/>
          <w:szCs w:val="28"/>
          <w:lang w:val="ca-ES"/>
        </w:rPr>
        <w:t xml:space="preserve">r 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>l</w:t>
      </w:r>
      <w:r w:rsidR="00F11D27">
        <w:rPr>
          <w:rFonts w:ascii="Arial" w:hAnsi="Arial" w:cs="Arial"/>
          <w:color w:val="222222"/>
          <w:sz w:val="28"/>
          <w:szCs w:val="28"/>
          <w:lang w:val="ca-ES"/>
        </w:rPr>
        <w:t>’</w:t>
      </w:r>
      <w:r w:rsidR="001B488E">
        <w:rPr>
          <w:rFonts w:ascii="Arial" w:hAnsi="Arial" w:cs="Arial"/>
          <w:color w:val="222222"/>
          <w:sz w:val="28"/>
          <w:szCs w:val="28"/>
          <w:lang w:val="ca-ES"/>
        </w:rPr>
        <w:t>àrbitre. L’acció d’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 xml:space="preserve">anul·lació tampoc es pot considerar una segona instància ja que aquesta </w:t>
      </w:r>
      <w:r w:rsidR="00F11D27">
        <w:rPr>
          <w:rFonts w:ascii="Arial" w:hAnsi="Arial" w:cs="Arial"/>
          <w:color w:val="222222"/>
          <w:sz w:val="28"/>
          <w:szCs w:val="28"/>
          <w:lang w:val="ca-ES"/>
        </w:rPr>
        <w:t>acció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 xml:space="preserve"> només es pot fona</w:t>
      </w:r>
      <w:r w:rsidR="00F11D27">
        <w:rPr>
          <w:rFonts w:ascii="Arial" w:hAnsi="Arial" w:cs="Arial"/>
          <w:color w:val="222222"/>
          <w:sz w:val="28"/>
          <w:szCs w:val="28"/>
          <w:lang w:val="ca-ES"/>
        </w:rPr>
        <w:t>mentar en les estrictes causes taxades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 xml:space="preserve"> per la llei entre les quals figura que el </w:t>
      </w:r>
      <w:r w:rsidR="00F11D27">
        <w:rPr>
          <w:rFonts w:ascii="Arial" w:hAnsi="Arial" w:cs="Arial"/>
          <w:color w:val="222222"/>
          <w:sz w:val="28"/>
          <w:szCs w:val="28"/>
          <w:lang w:val="ca-ES"/>
        </w:rPr>
        <w:t xml:space="preserve">laude 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>vulner</w:t>
      </w:r>
      <w:r w:rsidR="00F11D27">
        <w:rPr>
          <w:rFonts w:ascii="Arial" w:hAnsi="Arial" w:cs="Arial"/>
          <w:color w:val="222222"/>
          <w:sz w:val="28"/>
          <w:szCs w:val="28"/>
          <w:lang w:val="ca-ES"/>
        </w:rPr>
        <w:t>i</w:t>
      </w:r>
      <w:r w:rsidR="001B488E">
        <w:rPr>
          <w:rFonts w:ascii="Arial" w:hAnsi="Arial" w:cs="Arial"/>
          <w:color w:val="222222"/>
          <w:sz w:val="28"/>
          <w:szCs w:val="28"/>
          <w:lang w:val="ca-ES"/>
        </w:rPr>
        <w:t xml:space="preserve"> l’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>ordre públic.</w:t>
      </w:r>
    </w:p>
    <w:p w:rsidR="001B488E" w:rsidRDefault="001B488E" w:rsidP="00872653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lang w:val="ca-ES"/>
        </w:rPr>
      </w:pPr>
    </w:p>
    <w:p w:rsidR="001B488E" w:rsidRDefault="001B488E" w:rsidP="00872653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lang w:val="ca-ES"/>
        </w:rPr>
      </w:pPr>
    </w:p>
    <w:p w:rsidR="001B488E" w:rsidRDefault="001B488E" w:rsidP="00872653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lang w:val="ca-ES"/>
        </w:rPr>
      </w:pPr>
    </w:p>
    <w:p w:rsidR="00743E65" w:rsidRPr="00872653" w:rsidRDefault="00872653" w:rsidP="00872653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lang w:val="ca-ES"/>
        </w:rPr>
      </w:pPr>
      <w:r w:rsidRPr="00872653">
        <w:rPr>
          <w:rFonts w:ascii="Arial" w:hAnsi="Arial" w:cs="Arial"/>
          <w:color w:val="222222"/>
          <w:sz w:val="28"/>
          <w:szCs w:val="28"/>
          <w:lang w:val="ca-ES"/>
        </w:rPr>
        <w:lastRenderedPageBreak/>
        <w:br/>
      </w:r>
      <w:r>
        <w:rPr>
          <w:rFonts w:ascii="Arial" w:hAnsi="Arial" w:cs="Arial"/>
          <w:color w:val="222222"/>
          <w:sz w:val="28"/>
          <w:szCs w:val="28"/>
          <w:lang w:val="ca-ES"/>
        </w:rPr>
        <w:tab/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>En aquesta línia es publiquen a l</w:t>
      </w:r>
      <w:r w:rsidR="001B488E">
        <w:rPr>
          <w:rFonts w:ascii="Arial" w:hAnsi="Arial" w:cs="Arial"/>
          <w:color w:val="222222"/>
          <w:sz w:val="28"/>
          <w:szCs w:val="28"/>
          <w:lang w:val="ca-ES"/>
        </w:rPr>
        <w:t>’</w:t>
      </w:r>
      <w:r w:rsidRPr="001B488E">
        <w:rPr>
          <w:rFonts w:ascii="Arial" w:hAnsi="Arial" w:cs="Arial"/>
          <w:b/>
          <w:color w:val="222222"/>
          <w:sz w:val="28"/>
          <w:szCs w:val="28"/>
          <w:lang w:val="ca-ES"/>
        </w:rPr>
        <w:t>Anuari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 xml:space="preserve"> diversos articles sobre aquestes polèmiques Sentències com la del Tribunal Superior de Justícia de</w:t>
      </w:r>
      <w:r w:rsidR="001B488E">
        <w:rPr>
          <w:rFonts w:ascii="Arial" w:hAnsi="Arial" w:cs="Arial"/>
          <w:color w:val="222222"/>
          <w:sz w:val="28"/>
          <w:szCs w:val="28"/>
          <w:lang w:val="ca-ES"/>
        </w:rPr>
        <w:t xml:space="preserve"> Madrid número 32/2016, de 13 d’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 xml:space="preserve">abril de 2016, o la Sentència del mateix tribunal número 70/2016 de 4 de novembre de </w:t>
      </w:r>
      <w:r w:rsidR="001B488E">
        <w:rPr>
          <w:rFonts w:ascii="Arial" w:hAnsi="Arial" w:cs="Arial"/>
          <w:color w:val="222222"/>
          <w:sz w:val="28"/>
          <w:szCs w:val="28"/>
          <w:lang w:val="ca-ES"/>
        </w:rPr>
        <w:t>2016. O l’article referit a l’àmbit objectiu de la demanda d’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 xml:space="preserve">anul·lació </w:t>
      </w:r>
      <w:r w:rsidR="00F11D27">
        <w:rPr>
          <w:rFonts w:ascii="Arial" w:hAnsi="Arial" w:cs="Arial"/>
          <w:color w:val="222222"/>
          <w:sz w:val="28"/>
          <w:szCs w:val="28"/>
          <w:lang w:val="ca-ES"/>
        </w:rPr>
        <w:t>en ocasió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 xml:space="preserve"> de la Sentència del Tribunal Superior de Justícia de Catalunya número 47/2015, de 15 de juny de 2015.</w:t>
      </w:r>
    </w:p>
    <w:p w:rsidR="00872653" w:rsidRPr="00872653" w:rsidRDefault="00872653" w:rsidP="00872653">
      <w:p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lang w:val="ca-ES"/>
        </w:rPr>
        <w:tab/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>Junt</w:t>
      </w:r>
      <w:r w:rsidR="001B488E">
        <w:rPr>
          <w:rFonts w:ascii="Arial" w:hAnsi="Arial" w:cs="Arial"/>
          <w:color w:val="222222"/>
          <w:sz w:val="28"/>
          <w:szCs w:val="28"/>
          <w:lang w:val="ca-ES"/>
        </w:rPr>
        <w:t>ament amb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 xml:space="preserve"> tots aquests articles també es realitza a la secció denominada </w:t>
      </w:r>
      <w:proofErr w:type="spellStart"/>
      <w:r w:rsidR="00F11D27" w:rsidRPr="00F11D27">
        <w:rPr>
          <w:rFonts w:ascii="Arial" w:hAnsi="Arial" w:cs="Arial"/>
          <w:i/>
          <w:color w:val="222222"/>
          <w:sz w:val="28"/>
          <w:szCs w:val="28"/>
          <w:lang w:val="ca-ES"/>
        </w:rPr>
        <w:t>Notitia</w:t>
      </w:r>
      <w:proofErr w:type="spellEnd"/>
      <w:r w:rsidRPr="00872653">
        <w:rPr>
          <w:rFonts w:ascii="Arial" w:hAnsi="Arial" w:cs="Arial"/>
          <w:color w:val="222222"/>
          <w:sz w:val="28"/>
          <w:szCs w:val="28"/>
          <w:lang w:val="ca-ES"/>
        </w:rPr>
        <w:t>, un interessant i comple</w:t>
      </w:r>
      <w:r w:rsidR="00F11D27">
        <w:rPr>
          <w:rFonts w:ascii="Arial" w:hAnsi="Arial" w:cs="Arial"/>
          <w:color w:val="222222"/>
          <w:sz w:val="28"/>
          <w:szCs w:val="28"/>
          <w:lang w:val="ca-ES"/>
        </w:rPr>
        <w:t>r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 xml:space="preserve">t anàlisi tant de notícies, com de novetats bibliogràfiques i articles sobre arbitratge i </w:t>
      </w:r>
      <w:proofErr w:type="spellStart"/>
      <w:r w:rsidRPr="00872653">
        <w:rPr>
          <w:rFonts w:ascii="Arial" w:hAnsi="Arial" w:cs="Arial"/>
          <w:color w:val="222222"/>
          <w:sz w:val="28"/>
          <w:szCs w:val="28"/>
          <w:lang w:val="ca-ES"/>
        </w:rPr>
        <w:t>ADRs</w:t>
      </w:r>
      <w:proofErr w:type="spellEnd"/>
      <w:r w:rsidRPr="00872653">
        <w:rPr>
          <w:rFonts w:ascii="Arial" w:hAnsi="Arial" w:cs="Arial"/>
          <w:color w:val="222222"/>
          <w:sz w:val="28"/>
          <w:szCs w:val="28"/>
          <w:lang w:val="ca-ES"/>
        </w:rPr>
        <w:t xml:space="preserve"> publicats en revistes nacionals i i</w:t>
      </w:r>
      <w:r w:rsidR="001B488E">
        <w:rPr>
          <w:rFonts w:ascii="Arial" w:hAnsi="Arial" w:cs="Arial"/>
          <w:color w:val="222222"/>
          <w:sz w:val="28"/>
          <w:szCs w:val="28"/>
          <w:lang w:val="ca-ES"/>
        </w:rPr>
        <w:t>nternacionals que fan d’</w:t>
      </w:r>
      <w:r w:rsidR="00F11D27">
        <w:rPr>
          <w:rFonts w:ascii="Arial" w:hAnsi="Arial" w:cs="Arial"/>
          <w:color w:val="222222"/>
          <w:sz w:val="28"/>
          <w:szCs w:val="28"/>
          <w:lang w:val="ca-ES"/>
        </w:rPr>
        <w:t xml:space="preserve">aquest </w:t>
      </w:r>
      <w:r w:rsidR="00F11D27" w:rsidRPr="001B488E">
        <w:rPr>
          <w:rFonts w:ascii="Arial" w:hAnsi="Arial" w:cs="Arial"/>
          <w:b/>
          <w:color w:val="222222"/>
          <w:sz w:val="28"/>
          <w:szCs w:val="28"/>
          <w:lang w:val="ca-ES"/>
        </w:rPr>
        <w:t>A</w:t>
      </w:r>
      <w:r w:rsidRPr="001B488E">
        <w:rPr>
          <w:rFonts w:ascii="Arial" w:hAnsi="Arial" w:cs="Arial"/>
          <w:b/>
          <w:color w:val="222222"/>
          <w:sz w:val="28"/>
          <w:szCs w:val="28"/>
          <w:lang w:val="ca-ES"/>
        </w:rPr>
        <w:t>nuari</w:t>
      </w:r>
      <w:r w:rsidR="00F11D27">
        <w:rPr>
          <w:rFonts w:ascii="Arial" w:hAnsi="Arial" w:cs="Arial"/>
          <w:color w:val="222222"/>
          <w:sz w:val="28"/>
          <w:szCs w:val="28"/>
          <w:lang w:val="ca-ES"/>
        </w:rPr>
        <w:t xml:space="preserve"> una obra imprescindible en 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>matèria arbitral. En definitiva, una referència obligada per</w:t>
      </w:r>
      <w:r w:rsidR="001B488E">
        <w:rPr>
          <w:rFonts w:ascii="Arial" w:hAnsi="Arial" w:cs="Arial"/>
          <w:color w:val="222222"/>
          <w:sz w:val="28"/>
          <w:szCs w:val="28"/>
          <w:lang w:val="ca-ES"/>
        </w:rPr>
        <w:t xml:space="preserve"> a aquells professionals que, d’</w:t>
      </w:r>
      <w:r w:rsidRPr="00872653">
        <w:rPr>
          <w:rFonts w:ascii="Arial" w:hAnsi="Arial" w:cs="Arial"/>
          <w:color w:val="222222"/>
          <w:sz w:val="28"/>
          <w:szCs w:val="28"/>
          <w:lang w:val="ca-ES"/>
        </w:rPr>
        <w:t>una manera o altra, es troben en la pràctica diària amb els mitjans alternatiu</w:t>
      </w:r>
      <w:bookmarkStart w:id="0" w:name="_GoBack"/>
      <w:bookmarkEnd w:id="0"/>
      <w:r w:rsidRPr="00872653">
        <w:rPr>
          <w:rFonts w:ascii="Arial" w:hAnsi="Arial" w:cs="Arial"/>
          <w:color w:val="222222"/>
          <w:sz w:val="28"/>
          <w:szCs w:val="28"/>
          <w:lang w:val="ca-ES"/>
        </w:rPr>
        <w:t>s de resolució de conflictes.</w:t>
      </w:r>
    </w:p>
    <w:sectPr w:rsidR="00872653" w:rsidRPr="00872653" w:rsidSect="001B488E">
      <w:pgSz w:w="11906" w:h="16838"/>
      <w:pgMar w:top="2127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2653"/>
    <w:rsid w:val="00122309"/>
    <w:rsid w:val="001B488E"/>
    <w:rsid w:val="00743E65"/>
    <w:rsid w:val="00872653"/>
    <w:rsid w:val="00B63A8C"/>
    <w:rsid w:val="00F1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Iranzo</dc:creator>
  <cp:lastModifiedBy>albert</cp:lastModifiedBy>
  <cp:revision>3</cp:revision>
  <dcterms:created xsi:type="dcterms:W3CDTF">2017-09-26T11:13:00Z</dcterms:created>
  <dcterms:modified xsi:type="dcterms:W3CDTF">2017-10-04T14:58:00Z</dcterms:modified>
</cp:coreProperties>
</file>